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347A" w14:textId="2CDA82B4" w:rsidR="00B7489E" w:rsidRDefault="00B7489E" w:rsidP="00EF5601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A6BE4">
        <w:rPr>
          <w:rFonts w:ascii="Arial" w:hAnsi="Arial" w:cs="Arial"/>
          <w:lang w:val="en-US"/>
        </w:rPr>
        <w:t xml:space="preserve">The Ministry of </w:t>
      </w:r>
      <w:r>
        <w:rPr>
          <w:rFonts w:ascii="Arial" w:hAnsi="Arial" w:cs="Arial"/>
          <w:lang w:val="en-US"/>
        </w:rPr>
        <w:t>Water Supply</w:t>
      </w:r>
      <w:r w:rsidRPr="002A6BE4">
        <w:rPr>
          <w:rFonts w:ascii="Arial" w:hAnsi="Arial" w:cs="Arial"/>
          <w:lang w:val="en-US"/>
        </w:rPr>
        <w:t xml:space="preserve">, </w:t>
      </w:r>
      <w:r w:rsidR="00D71B80" w:rsidRPr="00D71B80">
        <w:rPr>
          <w:rFonts w:ascii="Arial" w:hAnsi="Arial" w:cs="Arial"/>
          <w:lang w:val="en-US"/>
        </w:rPr>
        <w:t xml:space="preserve">Government of Nepal, with support from Asian Development </w:t>
      </w:r>
      <w:r w:rsidR="00864836">
        <w:rPr>
          <w:rFonts w:ascii="Arial" w:hAnsi="Arial" w:cs="Arial"/>
          <w:lang w:val="en-US"/>
        </w:rPr>
        <w:t>B</w:t>
      </w:r>
      <w:r w:rsidR="00D71B80" w:rsidRPr="00D71B80">
        <w:rPr>
          <w:rFonts w:ascii="Arial" w:hAnsi="Arial" w:cs="Arial"/>
          <w:lang w:val="en-US"/>
        </w:rPr>
        <w:t>ank (ADB), proposes to implement the</w:t>
      </w:r>
      <w:r>
        <w:rPr>
          <w:rFonts w:ascii="Arial" w:hAnsi="Arial" w:cs="Arial"/>
          <w:lang w:val="en-US"/>
        </w:rPr>
        <w:t xml:space="preserve"> proposed</w:t>
      </w:r>
      <w:r w:rsidR="00D71B80" w:rsidRPr="00D71B80">
        <w:rPr>
          <w:rFonts w:ascii="Arial" w:hAnsi="Arial" w:cs="Arial"/>
          <w:lang w:val="en-US"/>
        </w:rPr>
        <w:t xml:space="preserve"> </w:t>
      </w:r>
      <w:r w:rsidRPr="00B7489E">
        <w:rPr>
          <w:rFonts w:ascii="Arial" w:hAnsi="Arial" w:cs="Arial"/>
          <w:b/>
          <w:bCs/>
          <w:lang w:val="en-US"/>
        </w:rPr>
        <w:t xml:space="preserve">Second Kathmandu Valley Water Supply </w:t>
      </w:r>
      <w:r w:rsidR="00864836">
        <w:rPr>
          <w:rFonts w:ascii="Arial" w:hAnsi="Arial" w:cs="Arial"/>
          <w:b/>
          <w:bCs/>
          <w:lang w:val="en-US"/>
        </w:rPr>
        <w:t xml:space="preserve">Improvement </w:t>
      </w:r>
      <w:r w:rsidRPr="00B7489E">
        <w:rPr>
          <w:rFonts w:ascii="Arial" w:hAnsi="Arial" w:cs="Arial"/>
          <w:b/>
          <w:bCs/>
          <w:lang w:val="en-US"/>
        </w:rPr>
        <w:t>Project</w:t>
      </w:r>
      <w:r>
        <w:rPr>
          <w:rFonts w:ascii="Arial" w:hAnsi="Arial" w:cs="Arial"/>
          <w:lang w:val="en-US"/>
        </w:rPr>
        <w:t xml:space="preserve"> </w:t>
      </w:r>
      <w:r w:rsidR="00D71B80">
        <w:rPr>
          <w:rFonts w:ascii="Arial" w:hAnsi="Arial" w:cs="Arial"/>
        </w:rPr>
        <w:t xml:space="preserve">at a </w:t>
      </w:r>
      <w:r w:rsidR="00D71B80" w:rsidRPr="00D71B80">
        <w:rPr>
          <w:rFonts w:ascii="Arial" w:hAnsi="Arial" w:cs="Arial"/>
        </w:rPr>
        <w:t>total project cost estimated at $230 million</w:t>
      </w:r>
      <w:r w:rsidR="00D71B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invite </w:t>
      </w:r>
      <w:r>
        <w:rPr>
          <w:rFonts w:ascii="Arial" w:hAnsi="Arial" w:cs="Arial"/>
          <w:lang w:val="en-US"/>
        </w:rPr>
        <w:t xml:space="preserve">interested </w:t>
      </w:r>
      <w:r w:rsidRPr="002A6BE4">
        <w:rPr>
          <w:rFonts w:ascii="Arial" w:hAnsi="Arial" w:cs="Arial"/>
          <w:lang w:val="en-US"/>
        </w:rPr>
        <w:t xml:space="preserve">international and national </w:t>
      </w:r>
      <w:r>
        <w:rPr>
          <w:rFonts w:ascii="Arial" w:hAnsi="Arial" w:cs="Arial"/>
          <w:lang w:val="en-US"/>
        </w:rPr>
        <w:t xml:space="preserve">contractors </w:t>
      </w:r>
      <w:r w:rsidRPr="002A6BE4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participate in </w:t>
      </w:r>
      <w:r w:rsidRPr="002A6BE4">
        <w:rPr>
          <w:rFonts w:ascii="Arial" w:hAnsi="Arial" w:cs="Arial"/>
          <w:lang w:val="en-US"/>
        </w:rPr>
        <w:t xml:space="preserve">an </w:t>
      </w:r>
      <w:r>
        <w:rPr>
          <w:rFonts w:ascii="Arial" w:hAnsi="Arial" w:cs="Arial"/>
          <w:lang w:val="en-US"/>
        </w:rPr>
        <w:t xml:space="preserve">online survey to obtain feedback from the market </w:t>
      </w:r>
      <w:r w:rsidRPr="00B7489E">
        <w:rPr>
          <w:rFonts w:ascii="Arial" w:hAnsi="Arial" w:cs="Arial"/>
          <w:lang w:val="en-US"/>
        </w:rPr>
        <w:t xml:space="preserve">while structuring contract packages </w:t>
      </w:r>
      <w:r>
        <w:rPr>
          <w:rFonts w:ascii="Arial" w:hAnsi="Arial" w:cs="Arial"/>
          <w:lang w:val="en-US"/>
        </w:rPr>
        <w:t xml:space="preserve">under </w:t>
      </w:r>
      <w:r w:rsidRPr="00B7489E">
        <w:rPr>
          <w:rFonts w:ascii="Arial" w:hAnsi="Arial" w:cs="Arial"/>
          <w:lang w:val="en-US"/>
        </w:rPr>
        <w:t>the project</w:t>
      </w:r>
      <w:r>
        <w:rPr>
          <w:rFonts w:ascii="Arial" w:hAnsi="Arial" w:cs="Arial"/>
          <w:lang w:val="en-US"/>
        </w:rPr>
        <w:t xml:space="preserve"> and develop evidence-based procurement that achieves value for money and competitiveness</w:t>
      </w:r>
      <w:r w:rsidRPr="002A6BE4">
        <w:rPr>
          <w:rFonts w:ascii="Arial" w:hAnsi="Arial" w:cs="Arial"/>
          <w:lang w:val="en-US"/>
        </w:rPr>
        <w:t xml:space="preserve">. </w:t>
      </w:r>
    </w:p>
    <w:p w14:paraId="6764F8F1" w14:textId="77777777" w:rsidR="00B7489E" w:rsidRDefault="00B7489E" w:rsidP="00EF5601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237C469" w14:textId="2057E7D1" w:rsidR="00EF5601" w:rsidRDefault="00DA267F" w:rsidP="00EF5601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A6BE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indicative contract packages under the </w:t>
      </w:r>
      <w:r w:rsidRPr="002A6BE4">
        <w:rPr>
          <w:rFonts w:ascii="Arial" w:hAnsi="Arial" w:cs="Arial"/>
          <w:lang w:val="en-US"/>
        </w:rPr>
        <w:t xml:space="preserve">project </w:t>
      </w:r>
      <w:r>
        <w:rPr>
          <w:rFonts w:ascii="Arial" w:hAnsi="Arial" w:cs="Arial"/>
          <w:lang w:val="en-US"/>
        </w:rPr>
        <w:t>are given below:</w:t>
      </w:r>
      <w:r w:rsidR="002A6BE4" w:rsidRPr="002A6BE4">
        <w:rPr>
          <w:rFonts w:ascii="Arial" w:hAnsi="Arial" w:cs="Arial"/>
          <w:lang w:val="en-US"/>
        </w:rPr>
        <w:cr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856"/>
        <w:gridCol w:w="1139"/>
      </w:tblGrid>
      <w:tr w:rsidR="005C567A" w14:paraId="0E9F638D" w14:textId="77777777" w:rsidTr="009803CD">
        <w:trPr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C79" w14:textId="77777777" w:rsidR="005C567A" w:rsidRDefault="005C567A">
            <w:pPr>
              <w:pStyle w:val="MediumShading1-Accent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2939" w14:textId="2B91288F" w:rsidR="005C567A" w:rsidRDefault="005C567A">
            <w:pPr>
              <w:pStyle w:val="MediumShading1-Accent11"/>
              <w:ind w:right="-1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Indicative number of </w:t>
            </w:r>
            <w:r w:rsidR="006D2C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contracts </w:t>
            </w:r>
          </w:p>
        </w:tc>
      </w:tr>
      <w:tr w:rsidR="00574937" w14:paraId="14956F73" w14:textId="77777777" w:rsidTr="009803CD">
        <w:trPr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FD7" w14:textId="431F7BC6" w:rsidR="00574937" w:rsidRDefault="00574937" w:rsidP="00574937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D72" w14:textId="77777777" w:rsidR="00574937" w:rsidRDefault="00574937">
            <w:pPr>
              <w:pStyle w:val="MediumShading1-Accent11"/>
              <w:ind w:right="-1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567A" w14:paraId="0E45D668" w14:textId="77777777" w:rsidTr="009803CD">
        <w:trPr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78D6" w14:textId="77777777" w:rsidR="005C567A" w:rsidRDefault="005C567A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6D2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6D2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reatment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D2C28">
              <w:rPr>
                <w:rFonts w:ascii="Arial" w:hAnsi="Arial" w:cs="Arial"/>
                <w:color w:val="000000" w:themeColor="text1"/>
                <w:sz w:val="20"/>
                <w:szCs w:val="20"/>
              </w:rPr>
              <w:t>lant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(255 MLD) </w:t>
            </w:r>
            <w:r w:rsidR="00DA26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construction and 3–5 years operations and maintenance </w:t>
            </w:r>
          </w:p>
          <w:p w14:paraId="3A7A9B1D" w14:textId="7A946C38" w:rsidR="00CE2557" w:rsidRPr="00CE2557" w:rsidRDefault="00CE2557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255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Pr="00BC4C9E">
              <w:rPr>
                <w:rFonts w:ascii="Arial" w:hAnsi="Arial" w:cs="Arial"/>
                <w:sz w:val="20"/>
                <w:szCs w:val="20"/>
              </w:rPr>
              <w:t>Indicative contract modality: Design Buil</w:t>
            </w:r>
            <w:r w:rsidR="00871056">
              <w:rPr>
                <w:rFonts w:ascii="Arial" w:hAnsi="Arial" w:cs="Arial"/>
                <w:sz w:val="20"/>
                <w:szCs w:val="20"/>
              </w:rPr>
              <w:t>d</w:t>
            </w:r>
            <w:r w:rsidRPr="00BC4C9E">
              <w:rPr>
                <w:rFonts w:ascii="Arial" w:hAnsi="Arial" w:cs="Arial"/>
                <w:sz w:val="20"/>
                <w:szCs w:val="20"/>
              </w:rPr>
              <w:t xml:space="preserve"> and Operate (Based on </w:t>
            </w:r>
            <w:r w:rsidR="00871056">
              <w:rPr>
                <w:rFonts w:ascii="Arial" w:hAnsi="Arial" w:cs="Arial"/>
                <w:sz w:val="20"/>
                <w:szCs w:val="20"/>
              </w:rPr>
              <w:t>key performance indicators</w:t>
            </w:r>
            <w:r w:rsidRPr="00BC4C9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C06" w14:textId="77777777" w:rsidR="005C567A" w:rsidRDefault="005C567A">
            <w:pPr>
              <w:pStyle w:val="MediumShading1-Accent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567A" w14:paraId="6B96BE8B" w14:textId="77777777" w:rsidTr="009803CD">
        <w:trPr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402E" w14:textId="77777777" w:rsidR="005C567A" w:rsidRDefault="005C567A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Distribution network (700 km)</w:t>
            </w:r>
          </w:p>
          <w:p w14:paraId="187E78B0" w14:textId="0058F387" w:rsidR="005C567A" w:rsidRDefault="005C567A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[each package </w:t>
            </w:r>
            <w:r w:rsidRPr="00EF56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involves laying of around 200-250 km </w:t>
            </w:r>
            <w:r w:rsidR="008710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pipeline </w:t>
            </w:r>
            <w:r w:rsidRPr="00EF5601">
              <w:rPr>
                <w:rFonts w:ascii="Arial" w:hAnsi="Arial" w:cs="Arial"/>
                <w:color w:val="000000" w:themeColor="text1"/>
                <w:sz w:val="20"/>
                <w:szCs w:val="20"/>
              </w:rPr>
              <w:t>and provision of about 25,000–30,000 metered house service connections to supply continuous pressurized 24x7 water supply</w:t>
            </w:r>
            <w:r w:rsidR="008710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71056" w:rsidRPr="00BC4C9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71056">
              <w:rPr>
                <w:rFonts w:ascii="Arial" w:hAnsi="Arial" w:cs="Arial"/>
                <w:sz w:val="20"/>
                <w:szCs w:val="20"/>
              </w:rPr>
              <w:t>demonstrate operational performance and functionality of network b</w:t>
            </w:r>
            <w:r w:rsidR="00871056" w:rsidRPr="00BC4C9E">
              <w:rPr>
                <w:rFonts w:ascii="Arial" w:hAnsi="Arial" w:cs="Arial"/>
                <w:sz w:val="20"/>
                <w:szCs w:val="20"/>
              </w:rPr>
              <w:t>ased on</w:t>
            </w:r>
            <w:r w:rsidR="00871056">
              <w:rPr>
                <w:rFonts w:ascii="Arial" w:hAnsi="Arial" w:cs="Arial"/>
                <w:sz w:val="20"/>
                <w:szCs w:val="20"/>
              </w:rPr>
              <w:t xml:space="preserve"> key performance indicators within an extended defect liability period</w:t>
            </w:r>
            <w:r w:rsidRPr="00EF56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1056">
              <w:rPr>
                <w:rFonts w:ascii="Arial" w:hAnsi="Arial" w:cs="Arial"/>
                <w:color w:val="000000" w:themeColor="text1"/>
                <w:sz w:val="20"/>
                <w:szCs w:val="20"/>
              </w:rPr>
              <w:t>of 2</w:t>
            </w:r>
            <w:r w:rsidRPr="00EF560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87105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F56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years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9E9" w14:textId="7372A87C" w:rsidR="005C567A" w:rsidRDefault="005C567A">
            <w:pPr>
              <w:pStyle w:val="MediumShading1-Accent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3–4 </w:t>
            </w:r>
          </w:p>
        </w:tc>
      </w:tr>
      <w:tr w:rsidR="005C567A" w14:paraId="6744DD35" w14:textId="77777777" w:rsidTr="009803CD">
        <w:trPr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E731" w14:textId="77777777" w:rsidR="005C567A" w:rsidRDefault="005C567A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Structural retrofitting of Headwork structure of Melamchi water diversion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4D6B" w14:textId="77777777" w:rsidR="005C567A" w:rsidRDefault="005C567A">
            <w:pPr>
              <w:pStyle w:val="MediumShading1-Accent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567A" w14:paraId="0A42BBAB" w14:textId="77777777" w:rsidTr="009803CD">
        <w:trPr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B296" w14:textId="77777777" w:rsidR="005C567A" w:rsidRDefault="005C567A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IT-based decision support system for O&amp;M of Melamchi Tunnel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FA37" w14:textId="77777777" w:rsidR="005C567A" w:rsidRDefault="005C567A">
            <w:pPr>
              <w:pStyle w:val="MediumShading1-Accent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567A" w14:paraId="4D4275D7" w14:textId="77777777" w:rsidTr="009803CD">
        <w:trPr>
          <w:trHeight w:val="70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601B" w14:textId="7E320EA2" w:rsidR="005C567A" w:rsidRDefault="005C567A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r w:rsidR="00EE75F7">
              <w:rPr>
                <w:rFonts w:ascii="Arial" w:hAnsi="Arial" w:cs="Arial"/>
                <w:color w:val="000000" w:themeColor="text1"/>
                <w:sz w:val="20"/>
                <w:szCs w:val="20"/>
              </w:rPr>
              <w:t>-b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ased early warning system for Melamchi Headworks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FCC" w14:textId="77777777" w:rsidR="005C567A" w:rsidRDefault="005C567A">
            <w:pPr>
              <w:pStyle w:val="MediumShading1-Accent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567A" w14:paraId="7D8F9F2A" w14:textId="77777777" w:rsidTr="009803CD">
        <w:trPr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5E3B" w14:textId="282A1755" w:rsidR="005C567A" w:rsidRDefault="005C567A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Capacity building of </w:t>
            </w:r>
            <w:r w:rsidR="00433841" w:rsidRPr="00FC4694">
              <w:rPr>
                <w:rFonts w:ascii="Arial" w:hAnsi="Arial" w:cs="Arial"/>
                <w:sz w:val="20"/>
                <w:szCs w:val="20"/>
              </w:rPr>
              <w:t xml:space="preserve">Kathmandu </w:t>
            </w:r>
            <w:proofErr w:type="spellStart"/>
            <w:r w:rsidR="00433841" w:rsidRPr="00FC4694">
              <w:rPr>
                <w:rFonts w:ascii="Arial" w:hAnsi="Arial" w:cs="Arial"/>
                <w:sz w:val="20"/>
                <w:szCs w:val="20"/>
              </w:rPr>
              <w:t>Upatyaka</w:t>
            </w:r>
            <w:proofErr w:type="spellEnd"/>
            <w:r w:rsidR="00433841" w:rsidRPr="00FC4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3841" w:rsidRPr="00FC4694">
              <w:rPr>
                <w:rFonts w:ascii="Arial" w:hAnsi="Arial" w:cs="Arial"/>
                <w:sz w:val="20"/>
                <w:szCs w:val="20"/>
              </w:rPr>
              <w:t>Khanepani</w:t>
            </w:r>
            <w:proofErr w:type="spellEnd"/>
            <w:r w:rsidR="00433841" w:rsidRPr="00FC4694">
              <w:rPr>
                <w:rFonts w:ascii="Arial" w:hAnsi="Arial" w:cs="Arial"/>
                <w:sz w:val="20"/>
                <w:szCs w:val="20"/>
              </w:rPr>
              <w:t xml:space="preserve"> Limited</w:t>
            </w:r>
            <w:r w:rsidR="00871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84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KUKL</w:t>
            </w:r>
            <w:r w:rsidR="0043384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strengthen operational and technical competencies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2BB" w14:textId="77777777" w:rsidR="005C567A" w:rsidRDefault="005C567A">
            <w:pPr>
              <w:pStyle w:val="MediumShading1-Accent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67A" w14:paraId="5285FBFA" w14:textId="77777777" w:rsidTr="009803CD">
        <w:trPr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864F" w14:textId="77777777" w:rsidR="005C567A" w:rsidRDefault="005C567A">
            <w:pPr>
              <w:pStyle w:val="MediumShading1-Accent11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Consultants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76D1" w14:textId="49F2A720" w:rsidR="005C567A" w:rsidRDefault="00104476">
            <w:pPr>
              <w:pStyle w:val="MediumShading1-Accent1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7A410141" w14:textId="77777777" w:rsidR="00EF5601" w:rsidRDefault="00EF5601" w:rsidP="00D71B8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14A622D" w14:textId="198E340F" w:rsidR="002A6BE4" w:rsidRDefault="002A6BE4" w:rsidP="002A6BE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A6BE4">
        <w:rPr>
          <w:rFonts w:ascii="Arial" w:hAnsi="Arial" w:cs="Arial"/>
          <w:lang w:val="en-US"/>
        </w:rPr>
        <w:t>Indicative implementation arrangements:</w:t>
      </w:r>
    </w:p>
    <w:p w14:paraId="2B5AE894" w14:textId="35119867" w:rsidR="00EF5601" w:rsidRPr="00EF5601" w:rsidRDefault="00EF5601" w:rsidP="00EF5601">
      <w:pPr>
        <w:keepNext/>
        <w:spacing w:after="0" w:line="0" w:lineRule="atLeast"/>
        <w:jc w:val="center"/>
        <w:rPr>
          <w:rFonts w:ascii="Arial" w:eastAsia="MS Mincho" w:hAnsi="Arial" w:cs="Arial"/>
          <w:lang w:val="en-US"/>
        </w:rPr>
      </w:pPr>
    </w:p>
    <w:tbl>
      <w:tblPr>
        <w:tblW w:w="89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9"/>
        <w:gridCol w:w="5456"/>
      </w:tblGrid>
      <w:tr w:rsidR="00EF5601" w:rsidRPr="00EF5601" w14:paraId="44CAB346" w14:textId="77777777" w:rsidTr="009803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4C62" w14:textId="77777777" w:rsidR="00EF5601" w:rsidRPr="00EF5601" w:rsidRDefault="00EF5601" w:rsidP="005C567A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aps/>
                <w:kern w:val="28"/>
                <w:sz w:val="20"/>
                <w:szCs w:val="20"/>
                <w:lang w:val="en-US"/>
              </w:rPr>
            </w:pPr>
            <w:r w:rsidRPr="00EF560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Aspects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248A" w14:textId="77777777" w:rsidR="00EF5601" w:rsidRPr="00EF5601" w:rsidRDefault="00EF5601" w:rsidP="005C567A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aps/>
                <w:kern w:val="28"/>
                <w:sz w:val="20"/>
                <w:szCs w:val="20"/>
                <w:lang w:val="en-US"/>
              </w:rPr>
            </w:pPr>
            <w:r w:rsidRPr="00EF560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Arrangements</w:t>
            </w:r>
          </w:p>
        </w:tc>
      </w:tr>
      <w:tr w:rsidR="005C567A" w:rsidRPr="005C567A" w14:paraId="3FF10E87" w14:textId="77777777" w:rsidTr="009803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C20" w14:textId="7C5C2D1B" w:rsidR="005C567A" w:rsidRPr="005C567A" w:rsidRDefault="005C567A" w:rsidP="00EF560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5C56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="00CD495B">
              <w:rPr>
                <w:rFonts w:ascii="Arial" w:eastAsia="MS Mincho" w:hAnsi="Arial" w:cs="Arial"/>
                <w:sz w:val="20"/>
                <w:szCs w:val="20"/>
                <w:lang w:val="en-US"/>
              </w:rPr>
              <w:t>C</w:t>
            </w:r>
            <w:r w:rsidRPr="005C56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ommencement of procurement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71F" w14:textId="712C0B47" w:rsidR="005C567A" w:rsidRPr="005C567A" w:rsidRDefault="005C567A" w:rsidP="00EF560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5C567A">
              <w:rPr>
                <w:rFonts w:ascii="Arial" w:hAnsi="Arial" w:cs="Arial"/>
                <w:sz w:val="20"/>
                <w:szCs w:val="20"/>
              </w:rPr>
              <w:t>First half of 2021</w:t>
            </w:r>
          </w:p>
        </w:tc>
      </w:tr>
      <w:tr w:rsidR="00EF5601" w:rsidRPr="00EF5601" w14:paraId="33ED3E86" w14:textId="77777777" w:rsidTr="009803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68E9" w14:textId="3A3AB175" w:rsidR="00EF5601" w:rsidRPr="00EF5601" w:rsidRDefault="00EF5601" w:rsidP="00EF5601">
            <w:pPr>
              <w:spacing w:after="0" w:line="240" w:lineRule="auto"/>
              <w:rPr>
                <w:rFonts w:ascii="Arial" w:eastAsia="MS Mincho" w:hAnsi="Arial" w:cs="Arial"/>
                <w:caps/>
                <w:kern w:val="28"/>
                <w:sz w:val="20"/>
                <w:szCs w:val="20"/>
                <w:lang w:val="en-US"/>
              </w:rPr>
            </w:pPr>
            <w:r w:rsidRPr="00EF560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="00AE755E">
              <w:rPr>
                <w:rFonts w:ascii="Arial" w:eastAsia="MS Mincho" w:hAnsi="Arial" w:cs="Arial"/>
                <w:sz w:val="20"/>
                <w:szCs w:val="20"/>
                <w:lang w:val="en-US"/>
              </w:rPr>
              <w:t>I</w:t>
            </w:r>
            <w:r w:rsidRPr="00EF5601">
              <w:rPr>
                <w:rFonts w:ascii="Arial" w:eastAsia="MS Mincho" w:hAnsi="Arial" w:cs="Arial"/>
                <w:sz w:val="20"/>
                <w:szCs w:val="20"/>
                <w:lang w:val="en-US"/>
              </w:rPr>
              <w:t>mplementation period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7C60" w14:textId="77777777" w:rsidR="00EF5601" w:rsidRPr="00EF5601" w:rsidRDefault="00EF5601" w:rsidP="00EF5601">
            <w:pPr>
              <w:spacing w:after="0" w:line="240" w:lineRule="auto"/>
              <w:rPr>
                <w:rFonts w:ascii="Arial" w:eastAsia="MS Mincho" w:hAnsi="Arial" w:cs="Arial"/>
                <w:caps/>
                <w:kern w:val="28"/>
                <w:sz w:val="20"/>
                <w:szCs w:val="20"/>
                <w:lang w:val="en-US"/>
              </w:rPr>
            </w:pPr>
            <w:r w:rsidRPr="00EF560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January </w:t>
            </w:r>
            <w:r w:rsidRPr="00EF5601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2022 – December 2028</w:t>
            </w:r>
          </w:p>
        </w:tc>
      </w:tr>
      <w:tr w:rsidR="00EF5601" w:rsidRPr="00EF5601" w14:paraId="7CE90398" w14:textId="77777777" w:rsidTr="009803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77BE" w14:textId="14CA8520" w:rsidR="00EF5601" w:rsidRPr="00EF5601" w:rsidRDefault="00EF5601" w:rsidP="00EF5601">
            <w:pPr>
              <w:spacing w:after="0" w:line="240" w:lineRule="auto"/>
              <w:rPr>
                <w:rFonts w:ascii="Arial" w:eastAsia="MS Mincho" w:hAnsi="Arial" w:cs="Arial"/>
                <w:caps/>
                <w:kern w:val="28"/>
                <w:sz w:val="20"/>
                <w:szCs w:val="20"/>
                <w:lang w:val="en-US"/>
              </w:rPr>
            </w:pPr>
            <w:r w:rsidRPr="00EF560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="00AE755E">
              <w:rPr>
                <w:rFonts w:ascii="Arial" w:eastAsia="MS Mincho" w:hAnsi="Arial" w:cs="Arial"/>
                <w:sz w:val="20"/>
                <w:szCs w:val="20"/>
                <w:lang w:val="en-US"/>
              </w:rPr>
              <w:t>C</w:t>
            </w:r>
            <w:r w:rsidRPr="00EF5601">
              <w:rPr>
                <w:rFonts w:ascii="Arial" w:eastAsia="MS Mincho" w:hAnsi="Arial" w:cs="Arial"/>
                <w:sz w:val="20"/>
                <w:szCs w:val="20"/>
                <w:lang w:val="en-US"/>
              </w:rPr>
              <w:t>ompletion date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7E6E" w14:textId="77777777" w:rsidR="00EF5601" w:rsidRPr="00EF5601" w:rsidRDefault="00EF5601" w:rsidP="00EF5601">
            <w:pPr>
              <w:spacing w:after="0" w:line="240" w:lineRule="auto"/>
              <w:rPr>
                <w:rFonts w:ascii="Arial" w:eastAsia="MS Mincho" w:hAnsi="Arial" w:cs="Arial"/>
                <w:caps/>
                <w:kern w:val="28"/>
                <w:sz w:val="20"/>
                <w:szCs w:val="20"/>
                <w:lang w:val="en-US"/>
              </w:rPr>
            </w:pPr>
            <w:r w:rsidRPr="00EF5601">
              <w:rPr>
                <w:rFonts w:ascii="Arial" w:eastAsia="MS Mincho" w:hAnsi="Arial" w:cs="Arial"/>
                <w:sz w:val="20"/>
                <w:szCs w:val="20"/>
                <w:lang w:val="en-US"/>
              </w:rPr>
              <w:t>December 2028</w:t>
            </w:r>
          </w:p>
        </w:tc>
      </w:tr>
      <w:tr w:rsidR="00FC4694" w:rsidRPr="00EF5601" w14:paraId="23B9E6FE" w14:textId="77777777" w:rsidTr="009803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581" w14:textId="7FA80660" w:rsidR="00FC4694" w:rsidRPr="00FC4694" w:rsidRDefault="00FC4694" w:rsidP="00FC469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C4694">
              <w:rPr>
                <w:rFonts w:ascii="Arial" w:hAnsi="Arial" w:cs="Arial"/>
                <w:sz w:val="20"/>
                <w:szCs w:val="20"/>
              </w:rPr>
              <w:t>(i)</w:t>
            </w:r>
            <w:r w:rsidRPr="00FC4694">
              <w:rPr>
                <w:rFonts w:ascii="Arial" w:hAnsi="Arial" w:cs="Arial"/>
                <w:sz w:val="20"/>
                <w:szCs w:val="20"/>
              </w:rPr>
              <w:tab/>
              <w:t>Executing agency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FB2" w14:textId="179506A5" w:rsidR="00FC4694" w:rsidRPr="00FC4694" w:rsidRDefault="00FC4694" w:rsidP="00FC469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C4694">
              <w:rPr>
                <w:rFonts w:ascii="Arial" w:hAnsi="Arial" w:cs="Arial"/>
                <w:sz w:val="20"/>
                <w:szCs w:val="20"/>
              </w:rPr>
              <w:t>Ministry of Water Supply</w:t>
            </w:r>
            <w:r>
              <w:rPr>
                <w:rFonts w:ascii="Arial" w:hAnsi="Arial" w:cs="Arial"/>
                <w:sz w:val="20"/>
                <w:szCs w:val="20"/>
              </w:rPr>
              <w:t xml:space="preserve"> (MWS)</w:t>
            </w:r>
            <w:r w:rsidRPr="00FC4694">
              <w:rPr>
                <w:rFonts w:ascii="Arial" w:hAnsi="Arial" w:cs="Arial"/>
                <w:sz w:val="20"/>
                <w:szCs w:val="20"/>
              </w:rPr>
              <w:t>, Government of Nepal</w:t>
            </w:r>
          </w:p>
        </w:tc>
      </w:tr>
      <w:tr w:rsidR="00FC4694" w:rsidRPr="00EF5601" w14:paraId="30E278D6" w14:textId="77777777" w:rsidTr="009803C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A94" w14:textId="4773EDFA" w:rsidR="00FC4694" w:rsidRPr="00FC4694" w:rsidRDefault="00FC4694" w:rsidP="00FC4694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C4694">
              <w:rPr>
                <w:rFonts w:ascii="Arial" w:hAnsi="Arial" w:cs="Arial"/>
                <w:sz w:val="20"/>
                <w:szCs w:val="20"/>
              </w:rPr>
              <w:t>(ii)</w:t>
            </w:r>
            <w:r w:rsidRPr="00FC4694">
              <w:rPr>
                <w:rFonts w:ascii="Arial" w:hAnsi="Arial" w:cs="Arial"/>
                <w:sz w:val="20"/>
                <w:szCs w:val="20"/>
              </w:rPr>
              <w:tab/>
              <w:t>Key implementing agencies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3F7" w14:textId="71CDCFB3" w:rsidR="00FC4694" w:rsidRPr="00FC4694" w:rsidRDefault="00FC4694" w:rsidP="00FC4694">
            <w:pPr>
              <w:spacing w:after="0" w:line="240" w:lineRule="auto"/>
              <w:ind w:left="204" w:hanging="204"/>
              <w:rPr>
                <w:rFonts w:ascii="Arial" w:hAnsi="Arial" w:cs="Arial"/>
                <w:sz w:val="20"/>
                <w:szCs w:val="20"/>
              </w:rPr>
            </w:pPr>
            <w:r w:rsidRPr="00FC4694">
              <w:rPr>
                <w:rFonts w:ascii="Arial" w:hAnsi="Arial" w:cs="Arial"/>
                <w:sz w:val="20"/>
                <w:szCs w:val="20"/>
              </w:rPr>
              <w:t>a) Project Implementation Directorate-K</w:t>
            </w:r>
            <w:r w:rsidR="00433841">
              <w:rPr>
                <w:rFonts w:ascii="Arial" w:hAnsi="Arial" w:cs="Arial"/>
                <w:sz w:val="20"/>
                <w:szCs w:val="20"/>
              </w:rPr>
              <w:t>UKL</w:t>
            </w:r>
            <w:r>
              <w:rPr>
                <w:rFonts w:ascii="Arial" w:hAnsi="Arial" w:cs="Arial"/>
                <w:sz w:val="20"/>
                <w:szCs w:val="20"/>
              </w:rPr>
              <w:t xml:space="preserve"> (PID-KUKL)</w:t>
            </w:r>
            <w:r w:rsidRPr="00FC4694">
              <w:rPr>
                <w:rFonts w:ascii="Arial" w:hAnsi="Arial" w:cs="Arial"/>
                <w:sz w:val="20"/>
                <w:szCs w:val="20"/>
              </w:rPr>
              <w:t xml:space="preserve">, and </w:t>
            </w:r>
          </w:p>
          <w:p w14:paraId="654F5E53" w14:textId="6505E8CE" w:rsidR="00FC4694" w:rsidRPr="00FC4694" w:rsidRDefault="00FC4694" w:rsidP="00FC4694">
            <w:pPr>
              <w:spacing w:before="120" w:after="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C4694">
              <w:rPr>
                <w:rFonts w:ascii="Arial" w:hAnsi="Arial" w:cs="Arial"/>
                <w:sz w:val="20"/>
                <w:szCs w:val="20"/>
              </w:rPr>
              <w:t xml:space="preserve">b) Melamchi Water Supply Development Board </w:t>
            </w:r>
            <w:r>
              <w:rPr>
                <w:rFonts w:ascii="Arial" w:hAnsi="Arial" w:cs="Arial"/>
                <w:sz w:val="20"/>
                <w:szCs w:val="20"/>
              </w:rPr>
              <w:t>(MWSDB)</w:t>
            </w:r>
          </w:p>
        </w:tc>
      </w:tr>
    </w:tbl>
    <w:p w14:paraId="7F6FF1D2" w14:textId="049D0558" w:rsidR="002A6BE4" w:rsidRDefault="002A6BE4" w:rsidP="002A6BE4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119"/>
        <w:gridCol w:w="5876"/>
      </w:tblGrid>
      <w:tr w:rsidR="002A0358" w:rsidRPr="00AC1583" w14:paraId="2F49C863" w14:textId="77777777" w:rsidTr="009803CD">
        <w:tc>
          <w:tcPr>
            <w:tcW w:w="3119" w:type="dxa"/>
            <w:shd w:val="clear" w:color="auto" w:fill="D9D9D9" w:themeFill="background1" w:themeFillShade="D9"/>
          </w:tcPr>
          <w:p w14:paraId="2FF73BA2" w14:textId="3B53DA08" w:rsidR="002A0358" w:rsidRPr="00AC1583" w:rsidRDefault="002A0358" w:rsidP="00AC158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15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DEADLINE FOR SUBMISSION OF MARKET SURVEY FORM</w:t>
            </w:r>
          </w:p>
        </w:tc>
        <w:tc>
          <w:tcPr>
            <w:tcW w:w="5876" w:type="dxa"/>
            <w:shd w:val="clear" w:color="auto" w:fill="D9D9D9" w:themeFill="background1" w:themeFillShade="D9"/>
          </w:tcPr>
          <w:p w14:paraId="3AB79131" w14:textId="2082F1AA" w:rsidR="002A0358" w:rsidRPr="00AC1583" w:rsidRDefault="00995389" w:rsidP="00AC15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 PM </w:t>
            </w:r>
            <w:r w:rsidR="001803E9">
              <w:rPr>
                <w:rFonts w:ascii="Arial" w:hAnsi="Arial" w:cs="Arial"/>
                <w:sz w:val="20"/>
                <w:szCs w:val="20"/>
              </w:rPr>
              <w:t>(Nepal</w:t>
            </w:r>
            <w:r>
              <w:rPr>
                <w:rFonts w:ascii="Arial" w:hAnsi="Arial" w:cs="Arial"/>
                <w:sz w:val="20"/>
                <w:szCs w:val="20"/>
              </w:rPr>
              <w:t xml:space="preserve"> Time), </w:t>
            </w:r>
            <w:r w:rsidR="002A0358" w:rsidRPr="00AC1583">
              <w:rPr>
                <w:rFonts w:ascii="Arial" w:hAnsi="Arial" w:cs="Arial"/>
                <w:sz w:val="20"/>
                <w:szCs w:val="20"/>
              </w:rPr>
              <w:t>15 February 202</w:t>
            </w:r>
            <w:r w:rsidR="001803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489E" w:rsidRPr="00AC1583" w14:paraId="47F2F7BF" w14:textId="77777777" w:rsidTr="009803CD">
        <w:tc>
          <w:tcPr>
            <w:tcW w:w="3119" w:type="dxa"/>
          </w:tcPr>
          <w:p w14:paraId="12442857" w14:textId="55D505E3" w:rsidR="00B7489E" w:rsidRPr="00AC1583" w:rsidRDefault="00B7489E" w:rsidP="00AC158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1583">
              <w:rPr>
                <w:rFonts w:ascii="Arial" w:hAnsi="Arial" w:cs="Arial"/>
                <w:sz w:val="20"/>
                <w:szCs w:val="20"/>
                <w:lang w:val="en-US"/>
              </w:rPr>
              <w:t xml:space="preserve">Link to the </w:t>
            </w:r>
            <w:r w:rsidR="001803E9">
              <w:rPr>
                <w:rFonts w:ascii="Arial" w:hAnsi="Arial" w:cs="Arial"/>
                <w:sz w:val="20"/>
                <w:szCs w:val="20"/>
                <w:lang w:val="en-US"/>
              </w:rPr>
              <w:t>survey registration form:</w:t>
            </w:r>
          </w:p>
        </w:tc>
        <w:tc>
          <w:tcPr>
            <w:tcW w:w="5876" w:type="dxa"/>
          </w:tcPr>
          <w:p w14:paraId="0ACB57BA" w14:textId="0ECF5FD4" w:rsidR="00B7489E" w:rsidRDefault="001D4B32" w:rsidP="001803E9">
            <w:pPr>
              <w:pStyle w:val="m6785480588922424460msolistparagraph"/>
              <w:shd w:val="clear" w:color="auto" w:fill="FFFFFF"/>
              <w:spacing w:before="0" w:beforeAutospacing="0" w:after="0" w:afterAutospacing="0"/>
            </w:pPr>
            <w:hyperlink r:id="rId8" w:history="1">
              <w:r w:rsidR="001803E9" w:rsidRPr="001803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https://bit.ly/SKVWSIP</w:t>
              </w:r>
            </w:hyperlink>
            <w:r w:rsidR="00FF23ED" w:rsidDel="00C5369E">
              <w:t xml:space="preserve"> </w:t>
            </w:r>
          </w:p>
          <w:p w14:paraId="449BF5DF" w14:textId="77777777" w:rsidR="007B3ECD" w:rsidRDefault="007B3ECD" w:rsidP="001803E9">
            <w:pPr>
              <w:pStyle w:val="m6785480588922424460msolistparagraph"/>
              <w:shd w:val="clear" w:color="auto" w:fill="FFFFFF"/>
              <w:spacing w:before="0" w:beforeAutospacing="0" w:after="0" w:afterAutospacing="0"/>
            </w:pPr>
          </w:p>
          <w:p w14:paraId="7EC25F81" w14:textId="77777777" w:rsidR="007B3ECD" w:rsidRDefault="007B3ECD" w:rsidP="001803E9">
            <w:pPr>
              <w:pStyle w:val="m6785480588922424460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B3ECD">
              <w:rPr>
                <w:rFonts w:ascii="Arial" w:hAnsi="Arial" w:cs="Arial"/>
                <w:color w:val="222222"/>
                <w:sz w:val="20"/>
                <w:szCs w:val="20"/>
              </w:rPr>
              <w:t>Once registered, a link to online market survey questionnaire will be sent to registered email ID.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7B3ECD">
              <w:rPr>
                <w:rFonts w:ascii="Arial" w:hAnsi="Arial" w:cs="Arial"/>
                <w:color w:val="222222"/>
                <w:sz w:val="20"/>
                <w:szCs w:val="20"/>
              </w:rPr>
              <w:t xml:space="preserve">Please note that the </w:t>
            </w:r>
            <w:r w:rsidRPr="007B3ECD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information provided in the registration form is not linked with the market survey questionnaire to maintain confidentiality of registration information and anonymity of survey responses.</w:t>
            </w:r>
          </w:p>
          <w:p w14:paraId="5BCC4EAC" w14:textId="6360419F" w:rsidR="007B3ECD" w:rsidRPr="00AC1583" w:rsidRDefault="007B3ECD" w:rsidP="001803E9">
            <w:pPr>
              <w:pStyle w:val="m6785480588922424460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7489E" w:rsidRPr="00AC1583" w14:paraId="194F15F5" w14:textId="77777777" w:rsidTr="009803CD">
        <w:tc>
          <w:tcPr>
            <w:tcW w:w="3119" w:type="dxa"/>
          </w:tcPr>
          <w:p w14:paraId="55A5B03D" w14:textId="279BF8EB" w:rsidR="00B7489E" w:rsidRPr="00AC1583" w:rsidRDefault="00B7489E" w:rsidP="00AC1583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158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Sample </w:t>
            </w:r>
            <w:r w:rsidR="00AC1583" w:rsidRPr="00AC1583">
              <w:rPr>
                <w:rFonts w:ascii="Arial" w:hAnsi="Arial" w:cs="Arial"/>
                <w:sz w:val="20"/>
                <w:szCs w:val="20"/>
                <w:lang w:val="en-US"/>
              </w:rPr>
              <w:t>Survey Forms to help collate information for filling the questionnaire</w:t>
            </w:r>
          </w:p>
        </w:tc>
        <w:tc>
          <w:tcPr>
            <w:tcW w:w="5876" w:type="dxa"/>
          </w:tcPr>
          <w:p w14:paraId="715001A4" w14:textId="77777777" w:rsidR="00B7489E" w:rsidRPr="00AC1583" w:rsidRDefault="00B7489E" w:rsidP="00AC158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C1583">
              <w:rPr>
                <w:rFonts w:ascii="Arial" w:hAnsi="Arial" w:cs="Arial"/>
                <w:color w:val="222222"/>
                <w:sz w:val="20"/>
                <w:szCs w:val="20"/>
              </w:rPr>
              <w:t>For National Firms</w:t>
            </w:r>
          </w:p>
          <w:p w14:paraId="255BD74F" w14:textId="5500B5F9" w:rsidR="00B7489E" w:rsidRPr="00AC1583" w:rsidRDefault="00B7489E" w:rsidP="00AC1583">
            <w:pPr>
              <w:pStyle w:val="m6785480588922424460msolist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C1583">
              <w:rPr>
                <w:rFonts w:ascii="Arial" w:hAnsi="Arial" w:cs="Arial"/>
                <w:color w:val="222222"/>
                <w:sz w:val="20"/>
                <w:szCs w:val="20"/>
              </w:rPr>
              <w:t>Water Treatment Plant Package: </w:t>
            </w:r>
            <w:hyperlink r:id="rId9" w:tgtFrame="_blank" w:history="1">
              <w:r w:rsidRPr="00AC1583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http://bit.ly/SKVWSIP_NAT_WTP</w:t>
              </w:r>
            </w:hyperlink>
          </w:p>
          <w:p w14:paraId="237E7EF4" w14:textId="1751EA8D" w:rsidR="00B7489E" w:rsidRPr="00AC1583" w:rsidRDefault="00B7489E" w:rsidP="00AC1583">
            <w:pPr>
              <w:pStyle w:val="m6785480588922424460msolist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C1583">
              <w:rPr>
                <w:rFonts w:ascii="Arial" w:hAnsi="Arial" w:cs="Arial"/>
                <w:color w:val="222222"/>
                <w:sz w:val="20"/>
                <w:szCs w:val="20"/>
              </w:rPr>
              <w:t>Water Distribution Network Package: </w:t>
            </w:r>
            <w:hyperlink r:id="rId10" w:tgtFrame="_blank" w:history="1">
              <w:r w:rsidRPr="00AC1583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http://bit.ly/SKVWSIP_NAT_DN</w:t>
              </w:r>
            </w:hyperlink>
            <w:r w:rsidRPr="00AC1583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14:paraId="46D91475" w14:textId="77777777" w:rsidR="00B7489E" w:rsidRPr="00AC1583" w:rsidRDefault="00B7489E" w:rsidP="00AC158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C1583">
              <w:rPr>
                <w:rFonts w:ascii="Arial" w:hAnsi="Arial" w:cs="Arial"/>
                <w:color w:val="222222"/>
                <w:sz w:val="20"/>
                <w:szCs w:val="20"/>
              </w:rPr>
              <w:t>For International Firms</w:t>
            </w:r>
          </w:p>
          <w:p w14:paraId="10F2A0BA" w14:textId="2943120F" w:rsidR="00B7489E" w:rsidRPr="00AC1583" w:rsidRDefault="00B7489E" w:rsidP="00AC1583">
            <w:pPr>
              <w:pStyle w:val="m6785480588922424460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C1583">
              <w:rPr>
                <w:rFonts w:ascii="Arial" w:hAnsi="Arial" w:cs="Arial"/>
                <w:color w:val="222222"/>
                <w:sz w:val="20"/>
                <w:szCs w:val="20"/>
              </w:rPr>
              <w:t>Water Treatment Plant Package:</w:t>
            </w:r>
            <w:r w:rsidR="00AC1583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hyperlink r:id="rId11" w:tgtFrame="_blank" w:history="1">
              <w:r w:rsidRPr="00AC1583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http://bit.ly/SKVWSIP_INT_WTP</w:t>
              </w:r>
            </w:hyperlink>
          </w:p>
          <w:p w14:paraId="5066F844" w14:textId="01AD4121" w:rsidR="00B7489E" w:rsidRPr="00AC1583" w:rsidRDefault="00B7489E" w:rsidP="00AC1583">
            <w:pPr>
              <w:pStyle w:val="m6785480588922424460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C1583">
              <w:rPr>
                <w:rFonts w:ascii="Arial" w:hAnsi="Arial" w:cs="Arial"/>
                <w:color w:val="222222"/>
                <w:sz w:val="20"/>
                <w:szCs w:val="20"/>
              </w:rPr>
              <w:t>Water Distribution Network Package:</w:t>
            </w:r>
            <w:r w:rsidR="00AC1583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hyperlink r:id="rId12" w:tgtFrame="_blank" w:history="1">
              <w:r w:rsidRPr="00AC1583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http://bit.ly/SKVWSIP_INT_DN</w:t>
              </w:r>
            </w:hyperlink>
          </w:p>
        </w:tc>
      </w:tr>
    </w:tbl>
    <w:p w14:paraId="6FDB36E0" w14:textId="6909376B" w:rsidR="002A6BE4" w:rsidRDefault="002A6BE4" w:rsidP="002A0358">
      <w:pPr>
        <w:spacing w:after="0" w:line="240" w:lineRule="auto"/>
        <w:rPr>
          <w:rFonts w:ascii="Arial" w:hAnsi="Arial" w:cs="Arial"/>
          <w:lang w:val="en-US"/>
        </w:rPr>
      </w:pPr>
    </w:p>
    <w:p w14:paraId="431137B5" w14:textId="5B823541" w:rsidR="002A0358" w:rsidRDefault="00A74E0E" w:rsidP="00C93ED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7489E">
        <w:rPr>
          <w:rFonts w:ascii="Arial" w:hAnsi="Arial" w:cs="Arial"/>
          <w:b/>
          <w:bCs/>
          <w:lang w:val="en-US"/>
        </w:rPr>
        <w:t>N</w:t>
      </w:r>
      <w:r w:rsidR="00F83010" w:rsidRPr="00B7489E">
        <w:rPr>
          <w:rFonts w:ascii="Arial" w:hAnsi="Arial" w:cs="Arial"/>
          <w:b/>
          <w:bCs/>
          <w:lang w:val="en-US"/>
        </w:rPr>
        <w:t>.B</w:t>
      </w:r>
      <w:r>
        <w:rPr>
          <w:rFonts w:ascii="Arial" w:hAnsi="Arial" w:cs="Arial"/>
          <w:lang w:val="en-US"/>
        </w:rPr>
        <w:t xml:space="preserve">. </w:t>
      </w:r>
      <w:r w:rsidR="00F83010" w:rsidRPr="00F83010">
        <w:rPr>
          <w:rFonts w:ascii="Arial" w:hAnsi="Arial" w:cs="Arial"/>
          <w:lang w:val="en-US"/>
        </w:rPr>
        <w:t xml:space="preserve">Please email to the helpdesk: </w:t>
      </w:r>
      <w:hyperlink r:id="rId13" w:history="1">
        <w:r w:rsidR="00C93EDC" w:rsidRPr="00480A81">
          <w:rPr>
            <w:rStyle w:val="Hyperlink"/>
            <w:rFonts w:ascii="Arial" w:hAnsi="Arial" w:cs="Arial"/>
            <w:lang w:val="en-US"/>
          </w:rPr>
          <w:t>skvwsip@gmail.com</w:t>
        </w:r>
      </w:hyperlink>
      <w:r w:rsidR="00C93EDC">
        <w:rPr>
          <w:rFonts w:ascii="Arial" w:hAnsi="Arial" w:cs="Arial"/>
          <w:lang w:val="en-US"/>
        </w:rPr>
        <w:t xml:space="preserve"> </w:t>
      </w:r>
      <w:r w:rsidR="00F83010" w:rsidRPr="00F83010">
        <w:rPr>
          <w:rFonts w:ascii="Arial" w:hAnsi="Arial" w:cs="Arial"/>
          <w:lang w:val="en-US"/>
        </w:rPr>
        <w:t>if you encounter difficulties accessing the online registration form or the market survey questionnaire</w:t>
      </w:r>
      <w:r w:rsidR="00B7489E">
        <w:rPr>
          <w:rFonts w:ascii="Arial" w:hAnsi="Arial" w:cs="Arial"/>
          <w:lang w:val="en-US"/>
        </w:rPr>
        <w:t xml:space="preserve">. </w:t>
      </w:r>
    </w:p>
    <w:sectPr w:rsidR="002A0358" w:rsidSect="009803CD">
      <w:footerReference w:type="default" r:id="rId14"/>
      <w:headerReference w:type="first" r:id="rId15"/>
      <w:footerReference w:type="first" r:id="rId16"/>
      <w:pgSz w:w="11906" w:h="16838"/>
      <w:pgMar w:top="900" w:right="1466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6962" w14:textId="77777777" w:rsidR="00842042" w:rsidRDefault="00842042" w:rsidP="00842042">
      <w:pPr>
        <w:spacing w:after="0" w:line="240" w:lineRule="auto"/>
      </w:pPr>
      <w:r>
        <w:separator/>
      </w:r>
    </w:p>
  </w:endnote>
  <w:endnote w:type="continuationSeparator" w:id="0">
    <w:p w14:paraId="751E1BCA" w14:textId="77777777" w:rsidR="00842042" w:rsidRDefault="00842042" w:rsidP="008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3FB3" w14:textId="32A3988F" w:rsidR="009870DA" w:rsidRDefault="009870DA">
    <w:pPr>
      <w:pStyle w:val="Footer"/>
    </w:pPr>
    <w:r w:rsidRPr="00D02016">
      <w:rPr>
        <w:noProof/>
      </w:rPr>
      <w:drawing>
        <wp:inline distT="0" distB="0" distL="0" distR="0" wp14:anchorId="49207A65" wp14:editId="7E04435D">
          <wp:extent cx="2705100" cy="266700"/>
          <wp:effectExtent l="0" t="0" r="0" b="0"/>
          <wp:docPr id="66" name="Picture 66" descr="75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75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7993" w14:textId="7CCCE166" w:rsidR="009803CD" w:rsidRDefault="009803CD">
    <w:pPr>
      <w:pStyle w:val="Footer"/>
    </w:pPr>
    <w:r w:rsidRPr="00D02016">
      <w:rPr>
        <w:noProof/>
      </w:rPr>
      <w:drawing>
        <wp:inline distT="0" distB="0" distL="0" distR="0" wp14:anchorId="69EF1B8B" wp14:editId="0F604F3F">
          <wp:extent cx="2705100" cy="266700"/>
          <wp:effectExtent l="0" t="0" r="0" b="0"/>
          <wp:docPr id="63" name="Picture 63" descr="75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75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15B3" w14:textId="77777777" w:rsidR="00842042" w:rsidRDefault="00842042" w:rsidP="00842042">
      <w:pPr>
        <w:spacing w:after="0" w:line="240" w:lineRule="auto"/>
      </w:pPr>
      <w:r>
        <w:separator/>
      </w:r>
    </w:p>
  </w:footnote>
  <w:footnote w:type="continuationSeparator" w:id="0">
    <w:p w14:paraId="4D5EB1BA" w14:textId="77777777" w:rsidR="00842042" w:rsidRDefault="00842042" w:rsidP="008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7DC2" w14:textId="77777777" w:rsidR="009803CD" w:rsidRDefault="009803CD" w:rsidP="009803CD">
    <w:pPr>
      <w:pStyle w:val="Header"/>
    </w:pPr>
    <w:r w:rsidRPr="00D02016">
      <w:rPr>
        <w:noProof/>
      </w:rPr>
      <w:drawing>
        <wp:inline distT="0" distB="0" distL="0" distR="0" wp14:anchorId="292F396C" wp14:editId="13BA9EC2">
          <wp:extent cx="891540" cy="891540"/>
          <wp:effectExtent l="0" t="0" r="3810" b="3810"/>
          <wp:docPr id="62" name="Picture 62" descr="25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E49B4" w14:textId="77777777" w:rsidR="009803CD" w:rsidRPr="00416DB1" w:rsidRDefault="009803CD" w:rsidP="009803CD">
    <w:pPr>
      <w:spacing w:after="0" w:line="240" w:lineRule="auto"/>
      <w:jc w:val="both"/>
      <w:rPr>
        <w:rFonts w:ascii="Arial" w:eastAsia="SimSun" w:hAnsi="Arial" w:cs="Arial"/>
        <w:sz w:val="40"/>
        <w:szCs w:val="40"/>
        <w:lang w:val="en-US" w:eastAsia="zh-CN"/>
      </w:rPr>
    </w:pPr>
    <w:r w:rsidRPr="00416DB1">
      <w:rPr>
        <w:rFonts w:ascii="Arial" w:eastAsia="SimSun" w:hAnsi="Arial" w:cs="Arial"/>
        <w:sz w:val="40"/>
        <w:szCs w:val="40"/>
        <w:lang w:val="en-US" w:eastAsia="zh-CN"/>
      </w:rPr>
      <w:t>Procurement Notice:</w:t>
    </w:r>
  </w:p>
  <w:p w14:paraId="12BE4A25" w14:textId="77777777" w:rsidR="009803CD" w:rsidRPr="00416DB1" w:rsidRDefault="009803CD" w:rsidP="009803CD">
    <w:pPr>
      <w:spacing w:after="0" w:line="240" w:lineRule="auto"/>
      <w:jc w:val="both"/>
      <w:rPr>
        <w:rFonts w:ascii="Arial" w:eastAsia="SimSun" w:hAnsi="Arial" w:cs="Arial"/>
        <w:sz w:val="40"/>
        <w:szCs w:val="40"/>
        <w:lang w:val="en-US" w:eastAsia="zh-CN"/>
      </w:rPr>
    </w:pPr>
    <w:r>
      <w:rPr>
        <w:rFonts w:ascii="Arial" w:eastAsia="SimSun" w:hAnsi="Arial" w:cs="Arial"/>
        <w:i/>
        <w:iCs/>
        <w:sz w:val="36"/>
        <w:szCs w:val="36"/>
        <w:lang w:val="en-US" w:eastAsia="zh-CN"/>
      </w:rPr>
      <w:t xml:space="preserve">Procurement Market Survey </w:t>
    </w:r>
  </w:p>
  <w:p w14:paraId="3AA9A891" w14:textId="2467B9E2" w:rsidR="009803CD" w:rsidRDefault="007143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2C7C7" wp14:editId="40B62E19">
              <wp:simplePos x="0" y="0"/>
              <wp:positionH relativeFrom="margin">
                <wp:align>right</wp:align>
              </wp:positionH>
              <wp:positionV relativeFrom="paragraph">
                <wp:posOffset>66040</wp:posOffset>
              </wp:positionV>
              <wp:extent cx="5669280" cy="7620"/>
              <wp:effectExtent l="0" t="0" r="26670" b="30480"/>
              <wp:wrapNone/>
              <wp:docPr id="65" name="Straight Connector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F8383D" id="Straight Connector 6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5.2pt,5.2pt" to="84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5F2F"/>
    <w:multiLevelType w:val="hybridMultilevel"/>
    <w:tmpl w:val="8DA81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093F"/>
    <w:multiLevelType w:val="hybridMultilevel"/>
    <w:tmpl w:val="D1A09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049"/>
    <w:multiLevelType w:val="multilevel"/>
    <w:tmpl w:val="40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69306C0"/>
    <w:multiLevelType w:val="multilevel"/>
    <w:tmpl w:val="34E8F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8F27E7F"/>
    <w:multiLevelType w:val="hybridMultilevel"/>
    <w:tmpl w:val="CB145048"/>
    <w:lvl w:ilvl="0" w:tplc="6248FE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266"/>
    <w:multiLevelType w:val="hybridMultilevel"/>
    <w:tmpl w:val="62CCA1D0"/>
    <w:lvl w:ilvl="0" w:tplc="F800A06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066D4"/>
    <w:multiLevelType w:val="hybridMultilevel"/>
    <w:tmpl w:val="60E00E5C"/>
    <w:lvl w:ilvl="0" w:tplc="2CCCD3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744E2"/>
    <w:multiLevelType w:val="hybridMultilevel"/>
    <w:tmpl w:val="3A202DDE"/>
    <w:lvl w:ilvl="0" w:tplc="4009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031297"/>
    <w:multiLevelType w:val="hybridMultilevel"/>
    <w:tmpl w:val="ADF4E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E4"/>
    <w:rsid w:val="000124B3"/>
    <w:rsid w:val="000A7BD2"/>
    <w:rsid w:val="00104476"/>
    <w:rsid w:val="001803E9"/>
    <w:rsid w:val="001819A0"/>
    <w:rsid w:val="001B2D16"/>
    <w:rsid w:val="001C6ECB"/>
    <w:rsid w:val="00257397"/>
    <w:rsid w:val="002A0358"/>
    <w:rsid w:val="002A6BE4"/>
    <w:rsid w:val="0030769F"/>
    <w:rsid w:val="0030798A"/>
    <w:rsid w:val="0031444E"/>
    <w:rsid w:val="00416DB1"/>
    <w:rsid w:val="00433841"/>
    <w:rsid w:val="004E1A3A"/>
    <w:rsid w:val="00574937"/>
    <w:rsid w:val="00591748"/>
    <w:rsid w:val="005C567A"/>
    <w:rsid w:val="006508E0"/>
    <w:rsid w:val="00664220"/>
    <w:rsid w:val="006D2C28"/>
    <w:rsid w:val="007143DF"/>
    <w:rsid w:val="00716FAB"/>
    <w:rsid w:val="00767F71"/>
    <w:rsid w:val="007B3ECD"/>
    <w:rsid w:val="00842042"/>
    <w:rsid w:val="0085273F"/>
    <w:rsid w:val="00864836"/>
    <w:rsid w:val="00871056"/>
    <w:rsid w:val="00895FE8"/>
    <w:rsid w:val="008D57FD"/>
    <w:rsid w:val="00913269"/>
    <w:rsid w:val="0092342F"/>
    <w:rsid w:val="0092436A"/>
    <w:rsid w:val="00937A36"/>
    <w:rsid w:val="009803CD"/>
    <w:rsid w:val="009870DA"/>
    <w:rsid w:val="00995389"/>
    <w:rsid w:val="009C3A32"/>
    <w:rsid w:val="00A74E0E"/>
    <w:rsid w:val="00A81BC0"/>
    <w:rsid w:val="00AC1583"/>
    <w:rsid w:val="00AC1B8F"/>
    <w:rsid w:val="00AD2337"/>
    <w:rsid w:val="00AE0253"/>
    <w:rsid w:val="00AE755E"/>
    <w:rsid w:val="00B7489E"/>
    <w:rsid w:val="00BA7F67"/>
    <w:rsid w:val="00BB534D"/>
    <w:rsid w:val="00BC4C9E"/>
    <w:rsid w:val="00BE51D7"/>
    <w:rsid w:val="00BF52C2"/>
    <w:rsid w:val="00C5369E"/>
    <w:rsid w:val="00C93EDC"/>
    <w:rsid w:val="00CD495B"/>
    <w:rsid w:val="00CE2557"/>
    <w:rsid w:val="00D14EB4"/>
    <w:rsid w:val="00D278DC"/>
    <w:rsid w:val="00D64B6F"/>
    <w:rsid w:val="00D71B80"/>
    <w:rsid w:val="00DA267F"/>
    <w:rsid w:val="00E305DB"/>
    <w:rsid w:val="00E7385C"/>
    <w:rsid w:val="00EE75F7"/>
    <w:rsid w:val="00EF5601"/>
    <w:rsid w:val="00F34CF4"/>
    <w:rsid w:val="00F83010"/>
    <w:rsid w:val="00FB142F"/>
    <w:rsid w:val="00FC4694"/>
    <w:rsid w:val="00FD3897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1B62F14"/>
  <w15:chartTrackingRefBased/>
  <w15:docId w15:val="{1143F8FA-2929-4C58-A487-BD1077B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E4"/>
    <w:pPr>
      <w:ind w:left="720"/>
      <w:contextualSpacing/>
    </w:pPr>
  </w:style>
  <w:style w:type="table" w:styleId="TableGrid">
    <w:name w:val="Table Grid"/>
    <w:basedOn w:val="TableNormal"/>
    <w:uiPriority w:val="39"/>
    <w:rsid w:val="002A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Shading1-Accent1Char">
    <w:name w:val="Medium Shading 1 - Accent 1 Char"/>
    <w:basedOn w:val="DefaultParagraphFont"/>
    <w:link w:val="MediumShading1-Accent11"/>
    <w:uiPriority w:val="1"/>
    <w:locked/>
    <w:rsid w:val="00EF5601"/>
    <w:rPr>
      <w:rFonts w:ascii="Calibri" w:eastAsia="Calibri" w:hAnsi="Calibri" w:cs="Times New Roman"/>
      <w:sz w:val="24"/>
      <w:lang w:val="en-GB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EF5601"/>
    <w:pPr>
      <w:spacing w:after="0" w:line="240" w:lineRule="auto"/>
      <w:jc w:val="both"/>
    </w:pPr>
    <w:rPr>
      <w:rFonts w:ascii="Calibri" w:eastAsia="Calibri" w:hAnsi="Calibri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9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EDC"/>
    <w:rPr>
      <w:color w:val="605E5C"/>
      <w:shd w:val="clear" w:color="auto" w:fill="E1DFDD"/>
    </w:rPr>
  </w:style>
  <w:style w:type="paragraph" w:customStyle="1" w:styleId="m6785480588922424460msolistparagraph">
    <w:name w:val="m_6785480588922424460msolistparagraph"/>
    <w:basedOn w:val="Normal"/>
    <w:rsid w:val="00B7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4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42"/>
  </w:style>
  <w:style w:type="paragraph" w:styleId="Footer">
    <w:name w:val="footer"/>
    <w:basedOn w:val="Normal"/>
    <w:link w:val="FooterChar"/>
    <w:uiPriority w:val="99"/>
    <w:unhideWhenUsed/>
    <w:rsid w:val="0084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KVWSIP" TargetMode="External"/><Relationship Id="rId13" Type="http://schemas.openxmlformats.org/officeDocument/2006/relationships/hyperlink" Target="mailto:skvwsip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SKVWSIP_INT_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SKVWSIP_INT_WT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t.ly/SKVWSIP_NAT_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SKVWSIP_NAT_WT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0E20-6AF0-404C-8E4E-E37C581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patwal</dc:creator>
  <cp:keywords/>
  <dc:description/>
  <cp:lastModifiedBy>Sujan Raj Regmi</cp:lastModifiedBy>
  <cp:revision>15</cp:revision>
  <dcterms:created xsi:type="dcterms:W3CDTF">2021-02-11T10:49:00Z</dcterms:created>
  <dcterms:modified xsi:type="dcterms:W3CDTF">2021-02-11T17:18:00Z</dcterms:modified>
</cp:coreProperties>
</file>